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BD7CA5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BD7CA5">
              <w:rPr>
                <w:szCs w:val="24"/>
              </w:rPr>
              <w:t>6</w:t>
            </w:r>
            <w:r w:rsidR="00BA579B" w:rsidRPr="00F822AF">
              <w:rPr>
                <w:szCs w:val="24"/>
              </w:rPr>
              <w:t>/</w:t>
            </w:r>
            <w:r w:rsidR="00BD7CA5">
              <w:rPr>
                <w:szCs w:val="24"/>
              </w:rPr>
              <w:t>3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6A1290">
              <w:rPr>
                <w:szCs w:val="24"/>
              </w:rPr>
              <w:t>2417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8002BB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F434DF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</w:t>
      </w:r>
      <w:r w:rsidR="0053317A"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6A1290">
        <w:rPr>
          <w:rFonts w:eastAsia="Arial Unicode MS"/>
          <w:bCs/>
          <w:sz w:val="24"/>
          <w:szCs w:val="24"/>
        </w:rPr>
        <w:t>2417</w:t>
      </w:r>
      <w:r w:rsidR="0053317A" w:rsidRPr="00F822AF">
        <w:rPr>
          <w:rFonts w:eastAsia="Arial Unicode MS"/>
          <w:bCs/>
          <w:sz w:val="24"/>
          <w:szCs w:val="24"/>
        </w:rPr>
        <w:t>/</w:t>
      </w:r>
      <w:r w:rsidR="006A1290">
        <w:rPr>
          <w:rFonts w:eastAsia="Arial Unicode MS"/>
          <w:bCs/>
          <w:sz w:val="24"/>
          <w:szCs w:val="24"/>
        </w:rPr>
        <w:t>6</w:t>
      </w:r>
      <w:r w:rsidR="0053317A" w:rsidRPr="00F822AF">
        <w:rPr>
          <w:rFonts w:eastAsia="Arial Unicode MS"/>
          <w:bCs/>
          <w:sz w:val="24"/>
          <w:szCs w:val="24"/>
        </w:rPr>
        <w:t>-</w:t>
      </w:r>
      <w:r w:rsidR="006A1290">
        <w:rPr>
          <w:rFonts w:eastAsia="Arial Unicode MS"/>
          <w:bCs/>
          <w:sz w:val="24"/>
          <w:szCs w:val="24"/>
        </w:rPr>
        <w:t>3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="0053317A"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="0053317A"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="0053317A"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790480" w:rsidRPr="00F822AF">
        <w:rPr>
          <w:rFonts w:eastAsia="Arial Unicode MS"/>
          <w:bCs/>
          <w:sz w:val="24"/>
          <w:szCs w:val="24"/>
        </w:rPr>
        <w:t xml:space="preserve">να προσέλθετε σε νέα δημόσια συνεδρίαση </w:t>
      </w:r>
      <w:r w:rsidR="00790480" w:rsidRPr="00663660">
        <w:rPr>
          <w:rFonts w:eastAsia="Arial Unicode MS"/>
          <w:b/>
          <w:bCs/>
          <w:sz w:val="24"/>
          <w:szCs w:val="24"/>
        </w:rPr>
        <w:t>την</w:t>
      </w:r>
      <w:r w:rsidR="000E163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BD7CA5">
        <w:rPr>
          <w:rFonts w:eastAsia="Arial Unicode MS"/>
          <w:b/>
          <w:bCs/>
          <w:sz w:val="24"/>
          <w:szCs w:val="24"/>
        </w:rPr>
        <w:t>11</w:t>
      </w:r>
      <w:r w:rsidR="00703D23" w:rsidRPr="0066366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703D2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581D5E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 xml:space="preserve">του μηνός </w:t>
      </w:r>
      <w:r w:rsidR="00BD7CA5">
        <w:rPr>
          <w:rFonts w:eastAsia="Arial Unicode MS"/>
          <w:b/>
          <w:bCs/>
          <w:sz w:val="24"/>
          <w:szCs w:val="24"/>
        </w:rPr>
        <w:t>Μαρτίου</w:t>
      </w:r>
      <w:r w:rsidR="00C65820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20</w:t>
      </w:r>
      <w:r w:rsidR="00EE59E5" w:rsidRPr="00663660">
        <w:rPr>
          <w:rFonts w:eastAsia="Arial Unicode MS"/>
          <w:b/>
          <w:bCs/>
          <w:sz w:val="24"/>
          <w:szCs w:val="24"/>
        </w:rPr>
        <w:t>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C14F43">
        <w:rPr>
          <w:rFonts w:eastAsia="Arial Unicode MS"/>
          <w:b/>
          <w:bCs/>
          <w:sz w:val="24"/>
          <w:szCs w:val="24"/>
        </w:rPr>
        <w:t xml:space="preserve">Τετάρτη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03D23" w:rsidRPr="00663660">
        <w:rPr>
          <w:rFonts w:eastAsia="Arial Unicode MS"/>
          <w:b/>
          <w:bCs/>
          <w:sz w:val="24"/>
          <w:szCs w:val="24"/>
        </w:rPr>
        <w:t>1</w:t>
      </w:r>
      <w:r w:rsidR="00C14F43">
        <w:rPr>
          <w:rFonts w:eastAsia="Arial Unicode MS"/>
          <w:b/>
          <w:bCs/>
          <w:sz w:val="24"/>
          <w:szCs w:val="24"/>
        </w:rPr>
        <w:t>9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703D23">
        <w:rPr>
          <w:rFonts w:eastAsia="Arial Unicode MS"/>
          <w:bCs/>
          <w:sz w:val="24"/>
          <w:szCs w:val="24"/>
        </w:rPr>
        <w:t xml:space="preserve"> </w:t>
      </w:r>
      <w:r w:rsidR="00790480" w:rsidRPr="006841C1">
        <w:rPr>
          <w:rFonts w:eastAsia="Arial Unicode MS"/>
          <w:bCs/>
          <w:sz w:val="24"/>
          <w:szCs w:val="24"/>
        </w:rPr>
        <w:t xml:space="preserve">, στην αίθουσα συνεδριάσεων του Δημοτικού Συμβουλίου, </w:t>
      </w:r>
      <w:r w:rsidR="0053317A" w:rsidRPr="006841C1">
        <w:rPr>
          <w:rFonts w:eastAsia="Arial Unicode MS"/>
          <w:bCs/>
          <w:sz w:val="24"/>
          <w:szCs w:val="24"/>
        </w:rPr>
        <w:t>για  συζήτηση και λήψη απ</w:t>
      </w:r>
      <w:r w:rsidR="00A126B1">
        <w:rPr>
          <w:rFonts w:eastAsia="Arial Unicode MS"/>
          <w:bCs/>
          <w:sz w:val="24"/>
          <w:szCs w:val="24"/>
        </w:rPr>
        <w:t xml:space="preserve">οφάσεων </w:t>
      </w:r>
      <w:r w:rsidR="0053317A" w:rsidRPr="006841C1">
        <w:rPr>
          <w:rFonts w:eastAsia="Arial Unicode MS"/>
          <w:bCs/>
          <w:sz w:val="24"/>
          <w:szCs w:val="24"/>
        </w:rPr>
        <w:t xml:space="preserve"> στα παρακάτω  θέματα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="0053317A" w:rsidRPr="006841C1">
        <w:rPr>
          <w:rFonts w:eastAsia="Arial Unicode MS"/>
          <w:bCs/>
          <w:sz w:val="24"/>
          <w:szCs w:val="24"/>
        </w:rPr>
        <w:t xml:space="preserve"> :</w:t>
      </w:r>
    </w:p>
    <w:p w:rsidR="007D46DD" w:rsidRDefault="007D46DD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Ενημέρωση </w:t>
      </w:r>
      <w:r w:rsidR="008A1961">
        <w:rPr>
          <w:rFonts w:eastAsia="Arial Unicode MS"/>
          <w:bCs/>
          <w:iCs/>
          <w:sz w:val="24"/>
          <w:szCs w:val="24"/>
        </w:rPr>
        <w:t xml:space="preserve">για την προφύλαξη της δημόσιας υγείας μετά την εμφάνιση κρουσμάτων κορονοϊού </w:t>
      </w:r>
      <w:r w:rsidR="008002BB" w:rsidRPr="008002BB">
        <w:rPr>
          <w:rFonts w:eastAsia="Arial Unicode MS"/>
          <w:bCs/>
          <w:iCs/>
          <w:sz w:val="24"/>
          <w:szCs w:val="24"/>
        </w:rPr>
        <w:t xml:space="preserve">(Εισηγητής: </w:t>
      </w:r>
      <w:r w:rsidR="008002BB">
        <w:rPr>
          <w:rFonts w:eastAsia="Arial Unicode MS"/>
          <w:bCs/>
          <w:iCs/>
          <w:sz w:val="24"/>
          <w:szCs w:val="24"/>
        </w:rPr>
        <w:t>Δήμαρχος Κος Λέντζας Ιωάννης)</w:t>
      </w:r>
      <w:r w:rsidR="008A1961">
        <w:rPr>
          <w:rFonts w:eastAsia="Arial Unicode MS"/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iCs/>
          <w:sz w:val="24"/>
          <w:szCs w:val="24"/>
        </w:rPr>
        <w:t xml:space="preserve"> </w:t>
      </w: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 xml:space="preserve">Επικύρωση πρακτικών </w:t>
      </w:r>
      <w:r w:rsidR="00A71A6E"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</w:t>
      </w:r>
      <w:r w:rsidR="00A71A6E">
        <w:rPr>
          <w:rFonts w:eastAsia="Arial Unicode MS"/>
          <w:bCs/>
          <w:iCs/>
          <w:sz w:val="24"/>
          <w:szCs w:val="24"/>
        </w:rPr>
        <w:t>ειδικής</w:t>
      </w:r>
      <w:r w:rsidRPr="00535D4B">
        <w:rPr>
          <w:rFonts w:eastAsia="Arial Unicode MS"/>
          <w:bCs/>
          <w:iCs/>
          <w:sz w:val="24"/>
          <w:szCs w:val="24"/>
        </w:rPr>
        <w:t xml:space="preserve"> συνεδρίασης του δ.σ. στις </w:t>
      </w:r>
      <w:r>
        <w:rPr>
          <w:rFonts w:eastAsia="Arial Unicode MS"/>
          <w:bCs/>
          <w:iCs/>
          <w:sz w:val="24"/>
          <w:szCs w:val="24"/>
        </w:rPr>
        <w:t>1</w:t>
      </w:r>
      <w:r w:rsidR="00A71A6E">
        <w:rPr>
          <w:rFonts w:eastAsia="Arial Unicode MS"/>
          <w:bCs/>
          <w:iCs/>
          <w:sz w:val="24"/>
          <w:szCs w:val="24"/>
        </w:rPr>
        <w:t>7</w:t>
      </w:r>
      <w:r w:rsidRPr="00535D4B">
        <w:rPr>
          <w:rFonts w:eastAsia="Arial Unicode MS"/>
          <w:bCs/>
          <w:iCs/>
          <w:sz w:val="24"/>
          <w:szCs w:val="24"/>
        </w:rPr>
        <w:t>/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</w:t>
      </w:r>
      <w:r w:rsidR="00A71A6E">
        <w:rPr>
          <w:rFonts w:eastAsia="Arial Unicode MS"/>
          <w:bCs/>
          <w:iCs/>
          <w:sz w:val="24"/>
          <w:szCs w:val="24"/>
        </w:rPr>
        <w:t>20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 xml:space="preserve">Επικύρωση πρακτικών </w:t>
      </w:r>
      <w:r w:rsidR="00805BE4">
        <w:rPr>
          <w:rFonts w:eastAsia="Arial Unicode MS"/>
          <w:bCs/>
          <w:iCs/>
          <w:sz w:val="24"/>
          <w:szCs w:val="24"/>
        </w:rPr>
        <w:t>3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 w:rsidR="00805BE4">
        <w:rPr>
          <w:rFonts w:eastAsia="Arial Unicode MS"/>
          <w:bCs/>
          <w:iCs/>
          <w:sz w:val="24"/>
          <w:szCs w:val="24"/>
        </w:rPr>
        <w:t>2</w:t>
      </w:r>
      <w:r>
        <w:rPr>
          <w:rFonts w:eastAsia="Arial Unicode MS"/>
          <w:bCs/>
          <w:iCs/>
          <w:sz w:val="24"/>
          <w:szCs w:val="24"/>
        </w:rPr>
        <w:t>1</w:t>
      </w:r>
      <w:r w:rsidRPr="00535D4B">
        <w:rPr>
          <w:rFonts w:eastAsia="Arial Unicode MS"/>
          <w:bCs/>
          <w:iCs/>
          <w:sz w:val="24"/>
          <w:szCs w:val="24"/>
        </w:rPr>
        <w:t>/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</w:t>
      </w:r>
      <w:r w:rsidR="00805BE4">
        <w:rPr>
          <w:rFonts w:eastAsia="Arial Unicode MS"/>
          <w:bCs/>
          <w:iCs/>
          <w:sz w:val="24"/>
          <w:szCs w:val="24"/>
        </w:rPr>
        <w:t>20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C55EE6" w:rsidRPr="00D132C0" w:rsidRDefault="00506803" w:rsidP="00C55EE6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C55EE6">
        <w:rPr>
          <w:rFonts w:eastAsia="Arial Unicode MS"/>
          <w:bCs/>
          <w:iCs/>
          <w:sz w:val="24"/>
          <w:szCs w:val="24"/>
        </w:rPr>
        <w:t xml:space="preserve"> Επιλογή  Συμπαραστάτη του Δημότη &amp; της Επιχείρηση</w:t>
      </w:r>
      <w:r w:rsidR="00805BE4">
        <w:rPr>
          <w:rFonts w:eastAsia="Arial Unicode MS"/>
          <w:bCs/>
          <w:iCs/>
          <w:sz w:val="24"/>
          <w:szCs w:val="24"/>
        </w:rPr>
        <w:t>ς Δήμου Ανδραβίδας-Κυλλήνης</w:t>
      </w:r>
      <w:r w:rsidR="003E41C6">
        <w:rPr>
          <w:rFonts w:eastAsia="Arial Unicode MS"/>
          <w:bCs/>
          <w:iCs/>
          <w:sz w:val="24"/>
          <w:szCs w:val="24"/>
        </w:rPr>
        <w:t xml:space="preserve"> </w:t>
      </w:r>
      <w:r w:rsidR="00C55EE6"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D132C0" w:rsidRPr="009A5CF4" w:rsidRDefault="00D132C0" w:rsidP="00D132C0">
      <w:pPr>
        <w:pStyle w:val="ac"/>
        <w:numPr>
          <w:ilvl w:val="0"/>
          <w:numId w:val="22"/>
        </w:numPr>
        <w:suppressAutoHyphens/>
        <w:spacing w:before="100" w:beforeAutospacing="1"/>
        <w:jc w:val="both"/>
        <w:rPr>
          <w:rFonts w:eastAsia="Arial Unicode MS"/>
          <w:bCs/>
          <w:iCs/>
          <w:sz w:val="24"/>
          <w:szCs w:val="24"/>
        </w:rPr>
      </w:pPr>
      <w:r w:rsidRPr="00D132C0">
        <w:rPr>
          <w:rFonts w:eastAsia="Arial Unicode MS"/>
          <w:bCs/>
          <w:iCs/>
          <w:sz w:val="24"/>
          <w:szCs w:val="24"/>
        </w:rPr>
        <w:t xml:space="preserve">Εγκρίσεις </w:t>
      </w:r>
      <w:proofErr w:type="spellStart"/>
      <w:r w:rsidRPr="00D132C0">
        <w:rPr>
          <w:rFonts w:eastAsia="Arial Unicode MS"/>
          <w:bCs/>
          <w:iCs/>
          <w:sz w:val="24"/>
          <w:szCs w:val="24"/>
        </w:rPr>
        <w:t>επικαιροποιημένων</w:t>
      </w:r>
      <w:proofErr w:type="spellEnd"/>
      <w:r w:rsidRPr="00D132C0">
        <w:rPr>
          <w:rFonts w:eastAsia="Arial Unicode MS"/>
          <w:bCs/>
          <w:iCs/>
          <w:sz w:val="24"/>
          <w:szCs w:val="24"/>
        </w:rPr>
        <w:t xml:space="preserve"> μελετών και τευχών δημοπράτησης</w:t>
      </w:r>
      <w:r>
        <w:rPr>
          <w:rFonts w:eastAsia="Arial Unicode MS"/>
          <w:bCs/>
          <w:iCs/>
          <w:sz w:val="24"/>
          <w:szCs w:val="24"/>
        </w:rPr>
        <w:t xml:space="preserve"> Αποχέτευσης Βάρδας</w:t>
      </w:r>
      <w:r w:rsidRPr="00B14DC2">
        <w:rPr>
          <w:rFonts w:eastAsia="Arial Unicode MS"/>
          <w:bCs/>
          <w:iCs/>
          <w:sz w:val="24"/>
          <w:szCs w:val="24"/>
        </w:rPr>
        <w:t>(Εισηγ</w:t>
      </w:r>
      <w:r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D132C0" w:rsidRPr="0072544D" w:rsidRDefault="00D132C0" w:rsidP="00D132C0">
      <w:pPr>
        <w:pStyle w:val="Web"/>
        <w:numPr>
          <w:ilvl w:val="0"/>
          <w:numId w:val="22"/>
        </w:numPr>
        <w:jc w:val="both"/>
      </w:pPr>
      <w:r w:rsidRPr="0072544D">
        <w:rPr>
          <w:bCs/>
          <w:color w:val="000000"/>
        </w:rPr>
        <w:t xml:space="preserve">Αποδοχή συμπληρωματικού όρου για τη λήψη επενδυτικού τοκοχρεολυτικού δανείου από το Ταμείο Παρ/κων και Δανείων, για τη χρηματοδότηση του έργου «Αντικατάσταση Δικτύου Ύδρευσης Δ.Κ. Κάστρου, Τ.Κ. Μέλισσας, Τ.Κ. Μπορσίου, Τ.Κ. Νεάπολης, Τ.Κ. Κουρτεσίου, ΤΚ Αετοράχης (Δάφνη) και ΤΚ Ψαρίου και σωληνώσεων </w:t>
      </w:r>
      <w:proofErr w:type="spellStart"/>
      <w:r w:rsidRPr="0072544D">
        <w:rPr>
          <w:bCs/>
          <w:color w:val="000000"/>
        </w:rPr>
        <w:t>υδατόπυργων»το</w:t>
      </w:r>
      <w:proofErr w:type="spellEnd"/>
      <w:r w:rsidRPr="0072544D">
        <w:rPr>
          <w:bCs/>
          <w:color w:val="000000"/>
        </w:rPr>
        <w:t xml:space="preserve"> οποίο εντάσσεται στο Πρόγραμμα «ΦΙΛΟΔΗΜΟΣ I. </w:t>
      </w:r>
      <w:r w:rsidR="0072544D" w:rsidRPr="0072544D">
        <w:rPr>
          <w:bCs/>
          <w:iCs/>
          <w:color w:val="000000"/>
        </w:rPr>
        <w:t>(Εισηγητής: Α/Δ Διοικητικών &amp; Οικονομικών Υπηρεσιών Κος Βαρβαρέσος Κων/νος)</w:t>
      </w:r>
    </w:p>
    <w:p w:rsidR="009B7E70" w:rsidRPr="0072544D" w:rsidRDefault="009B7E70" w:rsidP="009B7E70">
      <w:pPr>
        <w:pStyle w:val="Web"/>
        <w:numPr>
          <w:ilvl w:val="0"/>
          <w:numId w:val="22"/>
        </w:numPr>
        <w:jc w:val="both"/>
      </w:pPr>
      <w:r w:rsidRPr="009B7E70">
        <w:rPr>
          <w:rFonts w:eastAsia="Arial Unicode MS"/>
          <w:bCs/>
          <w:iCs/>
        </w:rPr>
        <w:t>Αποδοχή συμπληρωματικού όρου για τη λήψη επενδυτικού τοκοχρεολυτικού δανείου από το Ταμείο Παρ/κων και Δανείων, για τη χρηματοδότηση του έργου «Νέος δημοτικός βρεφονηπιακός σταθμός Δ.Κ. Βάρδας» το οποίο εντάσσεται στο Πρόγραμμα «ΦΙΛΟΔΗΜΟΣ I</w:t>
      </w:r>
      <w:r w:rsidRPr="009B7E70">
        <w:rPr>
          <w:rFonts w:eastAsia="Arial Unicode MS"/>
          <w:b/>
          <w:bCs/>
          <w:iCs/>
        </w:rPr>
        <w:t xml:space="preserve">. </w:t>
      </w:r>
      <w:r w:rsidRPr="0072544D">
        <w:rPr>
          <w:bCs/>
          <w:iCs/>
          <w:color w:val="000000"/>
        </w:rPr>
        <w:t>(Εισηγητής: Α/Δ Διοικητικών &amp; Οικονομικών Υπηρεσιών Κος Βαρβαρέσος Κων/νος)</w:t>
      </w:r>
    </w:p>
    <w:p w:rsidR="006F028F" w:rsidRPr="00CC71E9" w:rsidRDefault="00AA6E94" w:rsidP="00AA6E94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        </w:t>
      </w:r>
      <w:r w:rsidR="00AE4F5D">
        <w:rPr>
          <w:rFonts w:eastAsia="Arial Unicode MS"/>
          <w:bCs/>
          <w:sz w:val="24"/>
          <w:szCs w:val="24"/>
        </w:rPr>
        <w:t>Η</w:t>
      </w:r>
      <w:r w:rsidR="004E593A">
        <w:rPr>
          <w:rFonts w:eastAsia="Arial Unicode MS"/>
          <w:bCs/>
          <w:sz w:val="24"/>
          <w:szCs w:val="24"/>
        </w:rPr>
        <w:t xml:space="preserve"> </w:t>
      </w:r>
      <w:r w:rsidR="00192A83"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9B7E70" w:rsidRDefault="004E593A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</w:t>
      </w:r>
    </w:p>
    <w:p w:rsidR="004739C3" w:rsidRPr="00CC71E9" w:rsidRDefault="009B7E70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</w:t>
      </w:r>
      <w:r w:rsidR="004E593A">
        <w:rPr>
          <w:rFonts w:eastAsia="Arial Unicode MS"/>
          <w:bCs/>
          <w:sz w:val="24"/>
          <w:szCs w:val="24"/>
        </w:rPr>
        <w:t>ΚΑΚΑΛΕΤΡΗ ΓΕΩΡΓΙΑ</w:t>
      </w:r>
    </w:p>
    <w:sectPr w:rsidR="004739C3" w:rsidRPr="00CC71E9" w:rsidSect="009B7E70">
      <w:footerReference w:type="even" r:id="rId9"/>
      <w:footerReference w:type="default" r:id="rId10"/>
      <w:pgSz w:w="11906" w:h="16838"/>
      <w:pgMar w:top="964" w:right="964" w:bottom="56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0D" w:rsidRDefault="004F130D">
      <w:r>
        <w:separator/>
      </w:r>
    </w:p>
  </w:endnote>
  <w:endnote w:type="continuationSeparator" w:id="0">
    <w:p w:rsidR="004F130D" w:rsidRDefault="004F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930FEC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930FEC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2BB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0D" w:rsidRDefault="004F130D">
      <w:r>
        <w:separator/>
      </w:r>
    </w:p>
  </w:footnote>
  <w:footnote w:type="continuationSeparator" w:id="0">
    <w:p w:rsidR="004F130D" w:rsidRDefault="004F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9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6"/>
  </w:num>
  <w:num w:numId="5">
    <w:abstractNumId w:val="8"/>
  </w:num>
  <w:num w:numId="6">
    <w:abstractNumId w:val="0"/>
  </w:num>
  <w:num w:numId="7">
    <w:abstractNumId w:val="16"/>
  </w:num>
  <w:num w:numId="8">
    <w:abstractNumId w:val="25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31"/>
  </w:num>
  <w:num w:numId="23">
    <w:abstractNumId w:val="30"/>
  </w:num>
  <w:num w:numId="24">
    <w:abstractNumId w:val="6"/>
  </w:num>
  <w:num w:numId="25">
    <w:abstractNumId w:val="27"/>
  </w:num>
  <w:num w:numId="26">
    <w:abstractNumId w:val="4"/>
  </w:num>
  <w:num w:numId="27">
    <w:abstractNumId w:val="18"/>
  </w:num>
  <w:num w:numId="28">
    <w:abstractNumId w:val="20"/>
  </w:num>
  <w:num w:numId="29">
    <w:abstractNumId w:val="9"/>
  </w:num>
  <w:num w:numId="30">
    <w:abstractNumId w:val="24"/>
  </w:num>
  <w:num w:numId="31">
    <w:abstractNumId w:val="23"/>
  </w:num>
  <w:num w:numId="32">
    <w:abstractNumId w:val="29"/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45D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1C06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586A"/>
    <w:rsid w:val="000D7132"/>
    <w:rsid w:val="000D76D4"/>
    <w:rsid w:val="000E1633"/>
    <w:rsid w:val="000E2876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3EAE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640D8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5EFE"/>
    <w:rsid w:val="0018659C"/>
    <w:rsid w:val="0018698E"/>
    <w:rsid w:val="00187F30"/>
    <w:rsid w:val="001908C1"/>
    <w:rsid w:val="00192A83"/>
    <w:rsid w:val="0019525B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29F7"/>
    <w:rsid w:val="001D463F"/>
    <w:rsid w:val="001D51EA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4F61"/>
    <w:rsid w:val="001F6272"/>
    <w:rsid w:val="00200573"/>
    <w:rsid w:val="00201AB2"/>
    <w:rsid w:val="00201C32"/>
    <w:rsid w:val="00201E85"/>
    <w:rsid w:val="0020279D"/>
    <w:rsid w:val="00205170"/>
    <w:rsid w:val="00205E52"/>
    <w:rsid w:val="00205E88"/>
    <w:rsid w:val="0020624B"/>
    <w:rsid w:val="002064B1"/>
    <w:rsid w:val="00207D4A"/>
    <w:rsid w:val="00211ECC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30D9"/>
    <w:rsid w:val="002F364F"/>
    <w:rsid w:val="002F3736"/>
    <w:rsid w:val="002F3835"/>
    <w:rsid w:val="002F627F"/>
    <w:rsid w:val="002F74A0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1455"/>
    <w:rsid w:val="00313FCC"/>
    <w:rsid w:val="0031799C"/>
    <w:rsid w:val="003200BE"/>
    <w:rsid w:val="00320A4E"/>
    <w:rsid w:val="00320CAE"/>
    <w:rsid w:val="003215C2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41D4D"/>
    <w:rsid w:val="00345874"/>
    <w:rsid w:val="003461FD"/>
    <w:rsid w:val="00350EB6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AA5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41C6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6283"/>
    <w:rsid w:val="00410805"/>
    <w:rsid w:val="00411585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7555"/>
    <w:rsid w:val="00462239"/>
    <w:rsid w:val="0046311B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858EC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0D10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130D"/>
    <w:rsid w:val="004F3B97"/>
    <w:rsid w:val="004F4F3E"/>
    <w:rsid w:val="004F795F"/>
    <w:rsid w:val="004F7B99"/>
    <w:rsid w:val="00502229"/>
    <w:rsid w:val="00502616"/>
    <w:rsid w:val="005044B6"/>
    <w:rsid w:val="00504DE1"/>
    <w:rsid w:val="00506803"/>
    <w:rsid w:val="0050728A"/>
    <w:rsid w:val="00510D35"/>
    <w:rsid w:val="00512880"/>
    <w:rsid w:val="005130E3"/>
    <w:rsid w:val="00513220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5D4B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5F81"/>
    <w:rsid w:val="0058731E"/>
    <w:rsid w:val="00591B68"/>
    <w:rsid w:val="0059530F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5EC2"/>
    <w:rsid w:val="005F7D91"/>
    <w:rsid w:val="0060004E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1290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26C5"/>
    <w:rsid w:val="006E2B03"/>
    <w:rsid w:val="006E4B64"/>
    <w:rsid w:val="006E6B0A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797B"/>
    <w:rsid w:val="00717E8C"/>
    <w:rsid w:val="007204B5"/>
    <w:rsid w:val="0072346C"/>
    <w:rsid w:val="00723D4A"/>
    <w:rsid w:val="0072430E"/>
    <w:rsid w:val="0072544D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400B"/>
    <w:rsid w:val="00744F60"/>
    <w:rsid w:val="007461FE"/>
    <w:rsid w:val="007509D3"/>
    <w:rsid w:val="00750FA3"/>
    <w:rsid w:val="00752D78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5919"/>
    <w:rsid w:val="007C0D04"/>
    <w:rsid w:val="007C489E"/>
    <w:rsid w:val="007C7039"/>
    <w:rsid w:val="007D0344"/>
    <w:rsid w:val="007D0FF1"/>
    <w:rsid w:val="007D46DD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02BB"/>
    <w:rsid w:val="00802E08"/>
    <w:rsid w:val="00803654"/>
    <w:rsid w:val="00805246"/>
    <w:rsid w:val="00805A56"/>
    <w:rsid w:val="00805BE4"/>
    <w:rsid w:val="008060F5"/>
    <w:rsid w:val="00807077"/>
    <w:rsid w:val="00810801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6527"/>
    <w:rsid w:val="00827B66"/>
    <w:rsid w:val="00827E6E"/>
    <w:rsid w:val="00830CAE"/>
    <w:rsid w:val="00833B6B"/>
    <w:rsid w:val="00833D02"/>
    <w:rsid w:val="008340C5"/>
    <w:rsid w:val="00835A01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9EB"/>
    <w:rsid w:val="00876F23"/>
    <w:rsid w:val="008770EF"/>
    <w:rsid w:val="00877D6C"/>
    <w:rsid w:val="00880735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961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53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3F94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0FEC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71C0C"/>
    <w:rsid w:val="00972C85"/>
    <w:rsid w:val="00973026"/>
    <w:rsid w:val="00973DA9"/>
    <w:rsid w:val="00974EFF"/>
    <w:rsid w:val="00981744"/>
    <w:rsid w:val="00985852"/>
    <w:rsid w:val="009858A8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5CF4"/>
    <w:rsid w:val="009A68B6"/>
    <w:rsid w:val="009A6FFA"/>
    <w:rsid w:val="009B1925"/>
    <w:rsid w:val="009B5B91"/>
    <w:rsid w:val="009B6D6C"/>
    <w:rsid w:val="009B738D"/>
    <w:rsid w:val="009B7E70"/>
    <w:rsid w:val="009B7F99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072D"/>
    <w:rsid w:val="009F184E"/>
    <w:rsid w:val="009F1DBB"/>
    <w:rsid w:val="009F2310"/>
    <w:rsid w:val="009F2981"/>
    <w:rsid w:val="009F2B8F"/>
    <w:rsid w:val="009F2E59"/>
    <w:rsid w:val="009F39E9"/>
    <w:rsid w:val="009F43A4"/>
    <w:rsid w:val="009F668B"/>
    <w:rsid w:val="009F6980"/>
    <w:rsid w:val="00A01E12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1C5B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45B3"/>
    <w:rsid w:val="00A5514F"/>
    <w:rsid w:val="00A5555D"/>
    <w:rsid w:val="00A56BB5"/>
    <w:rsid w:val="00A603F0"/>
    <w:rsid w:val="00A649D9"/>
    <w:rsid w:val="00A67E54"/>
    <w:rsid w:val="00A71A6E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320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63FA"/>
    <w:rsid w:val="00B97158"/>
    <w:rsid w:val="00BA1402"/>
    <w:rsid w:val="00BA1C4C"/>
    <w:rsid w:val="00BA1E86"/>
    <w:rsid w:val="00BA579B"/>
    <w:rsid w:val="00BA5AB6"/>
    <w:rsid w:val="00BA5E0F"/>
    <w:rsid w:val="00BA7970"/>
    <w:rsid w:val="00BB0F08"/>
    <w:rsid w:val="00BB10E6"/>
    <w:rsid w:val="00BB1505"/>
    <w:rsid w:val="00BB2620"/>
    <w:rsid w:val="00BB486F"/>
    <w:rsid w:val="00BB5FAC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CA5"/>
    <w:rsid w:val="00BD7EA0"/>
    <w:rsid w:val="00BE0CE5"/>
    <w:rsid w:val="00BE3353"/>
    <w:rsid w:val="00BE4E99"/>
    <w:rsid w:val="00BE6459"/>
    <w:rsid w:val="00BE6F07"/>
    <w:rsid w:val="00BE7575"/>
    <w:rsid w:val="00BE7DD0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05584"/>
    <w:rsid w:val="00C1182A"/>
    <w:rsid w:val="00C11FF1"/>
    <w:rsid w:val="00C14B68"/>
    <w:rsid w:val="00C14E22"/>
    <w:rsid w:val="00C14F43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55EE6"/>
    <w:rsid w:val="00C61A2B"/>
    <w:rsid w:val="00C64AD5"/>
    <w:rsid w:val="00C64DCC"/>
    <w:rsid w:val="00C65609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32C0"/>
    <w:rsid w:val="00D17F1A"/>
    <w:rsid w:val="00D244FF"/>
    <w:rsid w:val="00D25125"/>
    <w:rsid w:val="00D27D56"/>
    <w:rsid w:val="00D32E96"/>
    <w:rsid w:val="00D35B80"/>
    <w:rsid w:val="00D35E8B"/>
    <w:rsid w:val="00D42FAC"/>
    <w:rsid w:val="00D44F74"/>
    <w:rsid w:val="00D4520A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4FE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B1857"/>
    <w:rsid w:val="00DB2635"/>
    <w:rsid w:val="00DB2639"/>
    <w:rsid w:val="00DB27DA"/>
    <w:rsid w:val="00DC08EC"/>
    <w:rsid w:val="00DC102C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80B"/>
    <w:rsid w:val="00E95952"/>
    <w:rsid w:val="00E968ED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5A4E"/>
    <w:rsid w:val="00EC6133"/>
    <w:rsid w:val="00EC62A7"/>
    <w:rsid w:val="00ED03EF"/>
    <w:rsid w:val="00ED0C40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2B16"/>
    <w:rsid w:val="00F3325B"/>
    <w:rsid w:val="00F351FE"/>
    <w:rsid w:val="00F36CD5"/>
    <w:rsid w:val="00F36ED2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B9FF-142C-4061-BF83-E9B42227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41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3</cp:revision>
  <cp:lastPrinted>2020-03-06T09:05:00Z</cp:lastPrinted>
  <dcterms:created xsi:type="dcterms:W3CDTF">2020-03-06T08:17:00Z</dcterms:created>
  <dcterms:modified xsi:type="dcterms:W3CDTF">2020-03-06T09:05:00Z</dcterms:modified>
</cp:coreProperties>
</file>